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 w:rsidP="007B30A8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37673DEC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02680147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B12AB5">
        <w:rPr>
          <w:rFonts w:ascii="Times New Roman" w:hAnsi="Times New Roman" w:cs="Times New Roman"/>
        </w:rPr>
        <w:t>V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</w:t>
      </w:r>
      <w:r w:rsidR="001939F5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31ECCFE" w:rsidR="00374613" w:rsidRPr="006C4F1F" w:rsidRDefault="0090581C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="00A462F8">
              <w:rPr>
                <w:rFonts w:ascii="Times New Roman" w:hAnsi="Times New Roman" w:cs="Times New Roman"/>
              </w:rPr>
              <w:t>Sonali Jain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4877EF01" w:rsidR="00374613" w:rsidRPr="006C4F1F" w:rsidRDefault="00A462F8" w:rsidP="00B12AB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English</w:t>
            </w:r>
          </w:p>
          <w:p w14:paraId="40965F5A" w14:textId="47E357AE" w:rsidR="00374613" w:rsidRPr="006C4F1F" w:rsidRDefault="00374613" w:rsidP="0090581C">
            <w:pPr>
              <w:pStyle w:val="TableParagraph"/>
              <w:ind w:left="657" w:right="652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3C7A7C49" w:rsidR="00374613" w:rsidRPr="006C4F1F" w:rsidRDefault="00A462F8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 (Hons) English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69415A0F" w:rsidR="00374613" w:rsidRPr="006C4F1F" w:rsidRDefault="00A462F8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7D467C28" w:rsidR="00374613" w:rsidRPr="006C4F1F" w:rsidRDefault="00A462F8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Women’s Writing 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6015D0AE" w:rsidR="00374613" w:rsidRPr="006C4F1F" w:rsidRDefault="00A462F8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6CD55097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This paper focuses on writings by women, about women. Since women are always defined in</w:t>
            </w:r>
          </w:p>
          <w:p w14:paraId="4E81970F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relation to men in a structurally patriarchal society, women writing about their experiences and</w:t>
            </w:r>
          </w:p>
          <w:p w14:paraId="5C8CEAFF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identities are almost always writing about their community, since they do not have the privilege to</w:t>
            </w:r>
          </w:p>
          <w:p w14:paraId="25201C98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write about themselves as individuals inhabiting a certain position in society. This paper focuses on</w:t>
            </w:r>
          </w:p>
          <w:p w14:paraId="5BF5B288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those stories, poems, plays, novels, autobiographies, and theoretical writings that most clearly</w:t>
            </w:r>
          </w:p>
          <w:p w14:paraId="7BCEF7E6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articulate the struggle to define experiences, and challenge patriarchal constructs. The texts in this</w:t>
            </w:r>
          </w:p>
          <w:p w14:paraId="4E09335B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 xml:space="preserve">paper focus on gender and sexuality as related to women, their bodies, their desires, and </w:t>
            </w:r>
            <w:proofErr w:type="gramStart"/>
            <w:r w:rsidRPr="00A30D06">
              <w:rPr>
                <w:rFonts w:ascii="Times New Roman" w:hAnsi="Times New Roman" w:cs="Times New Roman"/>
                <w:bCs/>
              </w:rPr>
              <w:t>their</w:t>
            </w:r>
            <w:proofErr w:type="gramEnd"/>
          </w:p>
          <w:p w14:paraId="52040D30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aspirations. However, women do not form a homogenous group and their oppressions and acts of</w:t>
            </w:r>
          </w:p>
          <w:p w14:paraId="007AD032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resistance need to be understood in all their complexities. Therefore, the intersectionality of the</w:t>
            </w:r>
          </w:p>
          <w:p w14:paraId="0291B4E8" w14:textId="77777777" w:rsidR="00A462F8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position of womanhood with caste, class, race, disability, education, slavery, etc., need to be</w:t>
            </w:r>
          </w:p>
          <w:p w14:paraId="332A923E" w14:textId="2AD5D83D" w:rsidR="00374613" w:rsidRPr="00A30D06" w:rsidRDefault="00A462F8" w:rsidP="00A462F8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r w:rsidRPr="00A30D06">
              <w:rPr>
                <w:rFonts w:ascii="Times New Roman" w:hAnsi="Times New Roman" w:cs="Times New Roman"/>
                <w:bCs/>
              </w:rPr>
              <w:t>studied with attention to the socio-economic historical location.</w:t>
            </w: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4DE1CD41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This course aims to</w:t>
            </w:r>
          </w:p>
          <w:p w14:paraId="6A8C1492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help students understand the social construction of woman by patriarchy;</w:t>
            </w:r>
          </w:p>
          <w:p w14:paraId="1AFE1CB4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examine feminism’s concerns of equality with men;</w:t>
            </w:r>
          </w:p>
          <w:p w14:paraId="219FDBF1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highlight the structural oppression of women;</w:t>
            </w:r>
          </w:p>
          <w:p w14:paraId="0CC56905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foreground resistance by women;</w:t>
            </w:r>
          </w:p>
          <w:p w14:paraId="0C5AAEB3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discuss women’s writing as an act of resistance and of grasping agency;</w:t>
            </w:r>
          </w:p>
          <w:p w14:paraId="0DECC041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facilitate an understanding of the body of woman and its lived experience; and</w:t>
            </w:r>
          </w:p>
          <w:p w14:paraId="4E982C11" w14:textId="77777777" w:rsidR="00A30D06" w:rsidRDefault="00A30D06" w:rsidP="00A30D0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TD4t00" w:eastAsia="TTD4t00" w:hAnsi="Times-Roman" w:cs="TTD4t00"/>
                <w:sz w:val="24"/>
                <w:szCs w:val="24"/>
                <w:lang w:val="en-IN" w:bidi="hi-IN"/>
              </w:rPr>
              <w:t xml:space="preserve">_ </w:t>
            </w: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help students engage with the heterogeneity of the oppression of women in different places,</w:t>
            </w:r>
          </w:p>
          <w:p w14:paraId="5C6B858A" w14:textId="3EDF79B1" w:rsidR="005A76FB" w:rsidRPr="006C4F1F" w:rsidRDefault="00A30D06" w:rsidP="00A30D0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historically and socially.</w:t>
            </w: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5CEF8297" w:rsidR="00532AD0" w:rsidRPr="006C4F1F" w:rsidRDefault="00C67E1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Weeks 1-3</w:t>
            </w:r>
          </w:p>
        </w:tc>
        <w:tc>
          <w:tcPr>
            <w:tcW w:w="4679" w:type="dxa"/>
            <w:gridSpan w:val="2"/>
          </w:tcPr>
          <w:p w14:paraId="3FE6DFDB" w14:textId="7B4CAA37" w:rsidR="00C67E1A" w:rsidRDefault="00C67E1A" w:rsidP="00C67E1A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Introduction to Paper 11: Women’s Writing</w:t>
            </w:r>
          </w:p>
          <w:p w14:paraId="172699CC" w14:textId="0DB33FD3" w:rsidR="00C67E1A" w:rsidRDefault="00C67E1A" w:rsidP="00C67E1A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Unit 1 – Novel: Alice Walker,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>The Color Purple</w:t>
            </w:r>
          </w:p>
          <w:p w14:paraId="7AD0DD8E" w14:textId="761AB029" w:rsidR="00532AD0" w:rsidRPr="006C4F1F" w:rsidRDefault="00532AD0" w:rsidP="00C67E1A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517235E4" w:rsidR="00042213" w:rsidRPr="006C4F1F" w:rsidRDefault="00C67E1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Weeks 4-6</w:t>
            </w:r>
          </w:p>
        </w:tc>
        <w:tc>
          <w:tcPr>
            <w:tcW w:w="4679" w:type="dxa"/>
            <w:gridSpan w:val="2"/>
          </w:tcPr>
          <w:p w14:paraId="261F65B0" w14:textId="77777777" w:rsidR="00C67E1A" w:rsidRDefault="00C67E1A" w:rsidP="00C67E1A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Unit 2 -- Short Stories:</w:t>
            </w:r>
          </w:p>
          <w:p w14:paraId="1D8CD2F4" w14:textId="77777777" w:rsidR="00C67E1A" w:rsidRDefault="00C67E1A" w:rsidP="00C67E1A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(a) Gilman, ‘The Yellow Wallpaper’</w:t>
            </w:r>
          </w:p>
          <w:p w14:paraId="3E858F17" w14:textId="77777777" w:rsidR="00C67E1A" w:rsidRDefault="00C67E1A" w:rsidP="00C67E1A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(b) Begum Rokeya ‘Sultana’s Dream’</w:t>
            </w:r>
          </w:p>
          <w:p w14:paraId="24CF44E4" w14:textId="5C2F3E79" w:rsidR="00C67E1A" w:rsidRDefault="00C67E1A" w:rsidP="00C67E1A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Unit 2 – Drama: Fornes, </w:t>
            </w:r>
            <w:proofErr w:type="spellStart"/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>Fefu</w:t>
            </w:r>
            <w:proofErr w:type="spellEnd"/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 xml:space="preserve"> and Her Friends</w:t>
            </w:r>
          </w:p>
          <w:p w14:paraId="0EA7E535" w14:textId="4F3C0F65" w:rsidR="00042213" w:rsidRPr="006C4F1F" w:rsidRDefault="00042213" w:rsidP="00C67E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36BDA8EB" w:rsidR="00B9182C" w:rsidRPr="006C4F1F" w:rsidRDefault="00977E7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Weeks 7=9</w:t>
            </w:r>
          </w:p>
        </w:tc>
        <w:tc>
          <w:tcPr>
            <w:tcW w:w="4679" w:type="dxa"/>
            <w:gridSpan w:val="2"/>
          </w:tcPr>
          <w:p w14:paraId="2C9E03AC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Unit 3 – Poetry:</w:t>
            </w:r>
          </w:p>
          <w:p w14:paraId="44FF9801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(a) Behbahani, ‘It’s Time to Mow the Flowers’</w:t>
            </w:r>
          </w:p>
          <w:p w14:paraId="1C7749E3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(b) Plath, (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i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) ‘Lady Lazarus’</w:t>
            </w:r>
          </w:p>
          <w:p w14:paraId="275A560B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(c) De Souza, (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i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) ‘Bequest’; (ii) ‘Advice to Women’</w:t>
            </w:r>
          </w:p>
          <w:p w14:paraId="4FA3AFE6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(d) Dickinson, ‘I cannot live without you’; (ii) ‘I’m wife; I’ve finished with that’</w:t>
            </w:r>
          </w:p>
          <w:p w14:paraId="3F9AF0E6" w14:textId="64184D90" w:rsidR="00B9182C" w:rsidRPr="006C4F1F" w:rsidRDefault="00B9182C" w:rsidP="00977E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977E7E" w:rsidRPr="006C4F1F" w14:paraId="4FFCA26A" w14:textId="77777777" w:rsidTr="00665C6F">
        <w:trPr>
          <w:trHeight w:val="1021"/>
        </w:trPr>
        <w:tc>
          <w:tcPr>
            <w:tcW w:w="1527" w:type="dxa"/>
            <w:gridSpan w:val="2"/>
          </w:tcPr>
          <w:p w14:paraId="00E48FB9" w14:textId="1245E24B" w:rsidR="00977E7E" w:rsidRDefault="00977E7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</w:t>
            </w:r>
            <w:r w:rsidR="00990D26">
              <w:rPr>
                <w:rFonts w:ascii="Times New Roman" w:hAnsi="Times New Roman" w:cs="Times New Roman"/>
              </w:rPr>
              <w:t>ks 10-11</w:t>
            </w:r>
          </w:p>
        </w:tc>
        <w:tc>
          <w:tcPr>
            <w:tcW w:w="4679" w:type="dxa"/>
            <w:gridSpan w:val="2"/>
          </w:tcPr>
          <w:p w14:paraId="113AA109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Unit 4 – Autobiography:</w:t>
            </w:r>
          </w:p>
          <w:p w14:paraId="11409E6E" w14:textId="77777777" w:rsidR="00977E7E" w:rsidRDefault="00977E7E" w:rsidP="00977E7E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(a)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Rassundari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 Debi, Excerpts from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>Amar Jiban</w:t>
            </w:r>
          </w:p>
          <w:p w14:paraId="770A925D" w14:textId="77777777" w:rsidR="00977E7E" w:rsidRDefault="00977E7E" w:rsidP="00977E7E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(b) Pandita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Ramabai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, ‘A Testimony of our Inexhaustible Treasures’</w:t>
            </w:r>
          </w:p>
          <w:p w14:paraId="5B6A64B4" w14:textId="49354DE1" w:rsidR="00977E7E" w:rsidRPr="00990D26" w:rsidRDefault="00977E7E" w:rsidP="00977E7E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(c) Wollstonecraft,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>A Vindication of the Rights of Woman</w:t>
            </w:r>
          </w:p>
        </w:tc>
        <w:tc>
          <w:tcPr>
            <w:tcW w:w="4255" w:type="dxa"/>
            <w:gridSpan w:val="2"/>
          </w:tcPr>
          <w:p w14:paraId="1BA62596" w14:textId="77777777" w:rsidR="00977E7E" w:rsidRPr="006C4F1F" w:rsidRDefault="00977E7E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990D26" w:rsidRPr="006C4F1F" w14:paraId="7E61CE39" w14:textId="77777777" w:rsidTr="00665C6F">
        <w:trPr>
          <w:trHeight w:val="1021"/>
        </w:trPr>
        <w:tc>
          <w:tcPr>
            <w:tcW w:w="1527" w:type="dxa"/>
            <w:gridSpan w:val="2"/>
          </w:tcPr>
          <w:p w14:paraId="4E878D3F" w14:textId="53F58D9E" w:rsidR="00990D26" w:rsidRDefault="00990D2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Weeks 12-13</w:t>
            </w:r>
          </w:p>
        </w:tc>
        <w:tc>
          <w:tcPr>
            <w:tcW w:w="4679" w:type="dxa"/>
            <w:gridSpan w:val="2"/>
          </w:tcPr>
          <w:p w14:paraId="43FBF610" w14:textId="3145A587" w:rsidR="00990D26" w:rsidRDefault="00990D26" w:rsidP="00990D2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Unit 5 -- Prose Readings:</w:t>
            </w:r>
          </w:p>
          <w:p w14:paraId="341BAD76" w14:textId="77777777" w:rsidR="00990D26" w:rsidRDefault="00990D26" w:rsidP="00990D26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(a) Showalter, ‘Introduction’, in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>A Literature of Their Own</w:t>
            </w:r>
          </w:p>
          <w:p w14:paraId="24DA660E" w14:textId="77777777" w:rsidR="00990D26" w:rsidRDefault="00990D26" w:rsidP="00990D26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(b) de Beauvoir, ‘Introduction’, in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t>The Second Sex</w:t>
            </w:r>
          </w:p>
          <w:p w14:paraId="6989E6EC" w14:textId="77777777" w:rsidR="00990D26" w:rsidRDefault="00990D26" w:rsidP="00990D2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(c) Irigaray, ‘When the Goods Get Together’</w:t>
            </w:r>
          </w:p>
          <w:p w14:paraId="6A6CE2A5" w14:textId="77777777" w:rsidR="00990D26" w:rsidRDefault="00990D26" w:rsidP="00990D2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(d) Garland-Thomson, ‘Integrating Disability, Transforming Feminist</w:t>
            </w:r>
          </w:p>
          <w:p w14:paraId="6E3FB7E5" w14:textId="77777777" w:rsidR="00990D26" w:rsidRDefault="00990D26" w:rsidP="00990D2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Theory’</w:t>
            </w:r>
          </w:p>
          <w:p w14:paraId="4142879F" w14:textId="351CD062" w:rsidR="00990D26" w:rsidRPr="00990D26" w:rsidRDefault="00990D26" w:rsidP="00990D26">
            <w:pPr>
              <w:widowControl/>
              <w:adjustRightInd w:val="0"/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 xml:space="preserve">(e) Sangari and Vaid, ‘Introduction’, in </w:t>
            </w:r>
            <w:r>
              <w:rPr>
                <w:rFonts w:ascii="Times-Italic" w:hAnsi="Times-Italic" w:cs="Times-Italic"/>
                <w:i/>
                <w:iCs/>
                <w:sz w:val="24"/>
                <w:szCs w:val="24"/>
                <w:lang w:val="en-IN" w:bidi="hi-IN"/>
              </w:rPr>
              <w:lastRenderedPageBreak/>
              <w:t>Recasting Women</w:t>
            </w:r>
          </w:p>
        </w:tc>
        <w:tc>
          <w:tcPr>
            <w:tcW w:w="4255" w:type="dxa"/>
            <w:gridSpan w:val="2"/>
          </w:tcPr>
          <w:p w14:paraId="3059C185" w14:textId="77777777" w:rsidR="00990D26" w:rsidRPr="006C4F1F" w:rsidRDefault="00990D26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990D26" w:rsidRPr="006C4F1F" w14:paraId="1F414A66" w14:textId="77777777" w:rsidTr="00665C6F">
        <w:trPr>
          <w:trHeight w:val="1021"/>
        </w:trPr>
        <w:tc>
          <w:tcPr>
            <w:tcW w:w="1527" w:type="dxa"/>
            <w:gridSpan w:val="2"/>
          </w:tcPr>
          <w:p w14:paraId="165BF5D5" w14:textId="04651638" w:rsidR="00990D26" w:rsidRDefault="00990D2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4679" w:type="dxa"/>
            <w:gridSpan w:val="2"/>
          </w:tcPr>
          <w:p w14:paraId="60F2B356" w14:textId="3EEE2C68" w:rsidR="00990D26" w:rsidRDefault="00990D26" w:rsidP="00990D26">
            <w:pPr>
              <w:widowControl/>
              <w:adjustRightInd w:val="0"/>
              <w:rPr>
                <w:rFonts w:ascii="Times-Roman" w:hAnsi="Times-Roman" w:cs="Times-Roman"/>
                <w:sz w:val="24"/>
                <w:szCs w:val="24"/>
                <w:lang w:val="en-IN"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IN" w:bidi="hi-IN"/>
              </w:rPr>
              <w:t>Concluding lectures; exam issues, etc.</w:t>
            </w:r>
          </w:p>
        </w:tc>
        <w:tc>
          <w:tcPr>
            <w:tcW w:w="4255" w:type="dxa"/>
            <w:gridSpan w:val="2"/>
          </w:tcPr>
          <w:p w14:paraId="59D6C49B" w14:textId="77777777" w:rsidR="00990D26" w:rsidRPr="006C4F1F" w:rsidRDefault="00990D26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28CB95F2" w14:textId="3E8C6555" w:rsidR="00F32B2C" w:rsidRDefault="00CE29B9" w:rsidP="0003626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5AAA105D" w14:textId="77777777" w:rsidR="0003626F" w:rsidRPr="0003626F" w:rsidRDefault="0003626F" w:rsidP="0003626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A021A5B" w14:textId="6608AACD" w:rsidR="00D15BF1" w:rsidRPr="003B7347" w:rsidRDefault="00D15BF1" w:rsidP="00D15BF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B7347">
              <w:rPr>
                <w:sz w:val="28"/>
                <w:szCs w:val="28"/>
              </w:rPr>
              <w:t>Proudfit</w:t>
            </w:r>
            <w:r>
              <w:rPr>
                <w:sz w:val="28"/>
                <w:szCs w:val="28"/>
              </w:rPr>
              <w:t>,</w:t>
            </w:r>
            <w:r w:rsidRPr="003B7347">
              <w:rPr>
                <w:sz w:val="28"/>
                <w:szCs w:val="28"/>
              </w:rPr>
              <w:t xml:space="preserve"> Charles L</w:t>
            </w:r>
            <w:r>
              <w:rPr>
                <w:sz w:val="28"/>
                <w:szCs w:val="28"/>
              </w:rPr>
              <w:t>.</w:t>
            </w:r>
            <w:r w:rsidRPr="003B73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r w:rsidRPr="003B7347">
              <w:rPr>
                <w:sz w:val="28"/>
                <w:szCs w:val="28"/>
              </w:rPr>
              <w:t xml:space="preserve">Celie's Search for Identity: A Psychoanalytic Developmental Reading of Alice Walker's </w:t>
            </w:r>
            <w:r w:rsidRPr="00FA0F52">
              <w:rPr>
                <w:i/>
                <w:iCs/>
                <w:sz w:val="28"/>
                <w:szCs w:val="28"/>
              </w:rPr>
              <w:t xml:space="preserve">The </w:t>
            </w:r>
            <w:proofErr w:type="spellStart"/>
            <w:r w:rsidRPr="00FA0F52">
              <w:rPr>
                <w:i/>
                <w:iCs/>
                <w:sz w:val="28"/>
                <w:szCs w:val="28"/>
              </w:rPr>
              <w:t>Color</w:t>
            </w:r>
            <w:proofErr w:type="spellEnd"/>
            <w:r w:rsidRPr="00FA0F52">
              <w:rPr>
                <w:i/>
                <w:iCs/>
                <w:sz w:val="28"/>
                <w:szCs w:val="28"/>
              </w:rPr>
              <w:t xml:space="preserve"> Purple</w:t>
            </w:r>
            <w:r w:rsidRPr="003B734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. </w:t>
            </w:r>
            <w:r w:rsidRPr="00CB6990">
              <w:rPr>
                <w:i/>
                <w:iCs/>
                <w:sz w:val="28"/>
                <w:szCs w:val="28"/>
              </w:rPr>
              <w:t>Contemporary Literature</w:t>
            </w:r>
            <w:r w:rsidRPr="003B7347">
              <w:rPr>
                <w:sz w:val="28"/>
                <w:szCs w:val="28"/>
              </w:rPr>
              <w:t>, Vol. 32, No. 1 (Spring, 1991), pp. 12-37</w:t>
            </w:r>
            <w:r>
              <w:rPr>
                <w:sz w:val="28"/>
                <w:szCs w:val="28"/>
              </w:rPr>
              <w:t xml:space="preserve">. </w:t>
            </w:r>
            <w:hyperlink r:id="rId8" w:history="1">
              <w:r w:rsidRPr="002F474E">
                <w:rPr>
                  <w:rStyle w:val="Hyperlink"/>
                  <w:sz w:val="28"/>
                  <w:szCs w:val="28"/>
                </w:rPr>
                <w:t>https://www.jstor.org/stable/1208336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F18FB66" w14:textId="758D647E" w:rsidR="00D15BF1" w:rsidRPr="003B7347" w:rsidRDefault="00D15BF1" w:rsidP="00D15BF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B7347">
              <w:rPr>
                <w:sz w:val="28"/>
                <w:szCs w:val="28"/>
              </w:rPr>
              <w:t>Ross</w:t>
            </w:r>
            <w:r>
              <w:rPr>
                <w:sz w:val="28"/>
                <w:szCs w:val="28"/>
              </w:rPr>
              <w:t xml:space="preserve">, </w:t>
            </w:r>
            <w:r w:rsidRPr="003B7347">
              <w:rPr>
                <w:sz w:val="28"/>
                <w:szCs w:val="28"/>
              </w:rPr>
              <w:t xml:space="preserve">Daniel W.  </w:t>
            </w:r>
            <w:r>
              <w:rPr>
                <w:sz w:val="28"/>
                <w:szCs w:val="28"/>
              </w:rPr>
              <w:t>“</w:t>
            </w:r>
            <w:r w:rsidRPr="003B7347">
              <w:rPr>
                <w:sz w:val="28"/>
                <w:szCs w:val="28"/>
              </w:rPr>
              <w:t xml:space="preserve">Celie in the looking glass: the desire for selfhood in </w:t>
            </w:r>
            <w:r w:rsidRPr="00FA0F52">
              <w:rPr>
                <w:i/>
                <w:iCs/>
                <w:sz w:val="28"/>
                <w:szCs w:val="28"/>
              </w:rPr>
              <w:t xml:space="preserve">The </w:t>
            </w:r>
            <w:proofErr w:type="spellStart"/>
            <w:r w:rsidRPr="00FA0F52">
              <w:rPr>
                <w:i/>
                <w:iCs/>
                <w:sz w:val="28"/>
                <w:szCs w:val="28"/>
              </w:rPr>
              <w:t>Color</w:t>
            </w:r>
            <w:proofErr w:type="spellEnd"/>
            <w:r w:rsidRPr="00FA0F52">
              <w:rPr>
                <w:i/>
                <w:iCs/>
                <w:sz w:val="28"/>
                <w:szCs w:val="28"/>
              </w:rPr>
              <w:t xml:space="preserve"> Purple</w:t>
            </w:r>
            <w:r w:rsidRPr="003B734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.  </w:t>
            </w:r>
            <w:r w:rsidRPr="00CB6990">
              <w:rPr>
                <w:i/>
                <w:iCs/>
                <w:sz w:val="28"/>
                <w:szCs w:val="28"/>
              </w:rPr>
              <w:t>Modern Fiction Studies</w:t>
            </w:r>
            <w:r w:rsidRPr="003B7347">
              <w:rPr>
                <w:sz w:val="28"/>
                <w:szCs w:val="28"/>
              </w:rPr>
              <w:t>, Vol. 34, No. 1, SPECIAL ISSUE: MODERN BLACK FICTION</w:t>
            </w:r>
            <w:r>
              <w:rPr>
                <w:sz w:val="28"/>
                <w:szCs w:val="28"/>
              </w:rPr>
              <w:t xml:space="preserve"> </w:t>
            </w:r>
            <w:r w:rsidRPr="003B7347">
              <w:rPr>
                <w:sz w:val="28"/>
                <w:szCs w:val="28"/>
              </w:rPr>
              <w:t>(Spring 1988), pp. 69-84</w:t>
            </w:r>
            <w:r>
              <w:rPr>
                <w:sz w:val="28"/>
                <w:szCs w:val="28"/>
              </w:rPr>
              <w:t xml:space="preserve">. </w:t>
            </w:r>
            <w:hyperlink r:id="rId9" w:history="1">
              <w:r w:rsidRPr="002F474E">
                <w:rPr>
                  <w:rStyle w:val="Hyperlink"/>
                  <w:sz w:val="28"/>
                  <w:szCs w:val="28"/>
                </w:rPr>
                <w:t>https://www.jstor.org/stable/26282404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C7168D2" w14:textId="77777777" w:rsidR="00D15BF1" w:rsidRPr="003B7347" w:rsidRDefault="00D15BF1" w:rsidP="00D15BF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B7347">
              <w:rPr>
                <w:sz w:val="28"/>
                <w:szCs w:val="28"/>
              </w:rPr>
              <w:t>Jones</w:t>
            </w:r>
            <w:r>
              <w:rPr>
                <w:sz w:val="28"/>
                <w:szCs w:val="28"/>
              </w:rPr>
              <w:t>,</w:t>
            </w:r>
            <w:r w:rsidRPr="003B7347">
              <w:rPr>
                <w:sz w:val="28"/>
                <w:szCs w:val="28"/>
              </w:rPr>
              <w:t xml:space="preserve"> Jacqueline</w:t>
            </w:r>
            <w:r>
              <w:rPr>
                <w:sz w:val="28"/>
                <w:szCs w:val="28"/>
              </w:rPr>
              <w:t>.</w:t>
            </w:r>
            <w:r w:rsidRPr="003B7347">
              <w:rPr>
                <w:sz w:val="28"/>
                <w:szCs w:val="28"/>
              </w:rPr>
              <w:t xml:space="preserve"> "Fact and Fiction in Alice Walker's </w:t>
            </w:r>
            <w:r w:rsidRPr="00FA0F52">
              <w:rPr>
                <w:i/>
                <w:iCs/>
                <w:sz w:val="28"/>
                <w:szCs w:val="28"/>
              </w:rPr>
              <w:t xml:space="preserve">The </w:t>
            </w:r>
            <w:proofErr w:type="spellStart"/>
            <w:r w:rsidRPr="00FA0F52">
              <w:rPr>
                <w:i/>
                <w:iCs/>
                <w:sz w:val="28"/>
                <w:szCs w:val="28"/>
              </w:rPr>
              <w:t>Color</w:t>
            </w:r>
            <w:proofErr w:type="spellEnd"/>
            <w:r w:rsidRPr="00FA0F52">
              <w:rPr>
                <w:i/>
                <w:iCs/>
                <w:sz w:val="28"/>
                <w:szCs w:val="28"/>
              </w:rPr>
              <w:t xml:space="preserve"> Purple</w:t>
            </w:r>
            <w:r w:rsidRPr="003B734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14:paraId="25CF285E" w14:textId="77777777" w:rsidR="00D15BF1" w:rsidRPr="003B7347" w:rsidRDefault="00D15BF1" w:rsidP="00D15BF1">
            <w:pPr>
              <w:pStyle w:val="Default"/>
              <w:ind w:left="720"/>
              <w:rPr>
                <w:sz w:val="28"/>
                <w:szCs w:val="28"/>
              </w:rPr>
            </w:pPr>
            <w:r w:rsidRPr="00CB6990">
              <w:rPr>
                <w:i/>
                <w:iCs/>
                <w:sz w:val="28"/>
                <w:szCs w:val="28"/>
              </w:rPr>
              <w:t>The Georgia Historical Quarterly</w:t>
            </w:r>
            <w:r w:rsidRPr="003B7347">
              <w:rPr>
                <w:sz w:val="28"/>
                <w:szCs w:val="28"/>
              </w:rPr>
              <w:t>, Vol. 72, No. 4 (Winter, 1988), pp. 653-669</w:t>
            </w:r>
            <w:r>
              <w:rPr>
                <w:sz w:val="28"/>
                <w:szCs w:val="28"/>
              </w:rPr>
              <w:t>.</w:t>
            </w:r>
          </w:p>
          <w:p w14:paraId="679EE4E1" w14:textId="30EE403F" w:rsidR="00D15BF1" w:rsidRPr="003B7347" w:rsidRDefault="00000000" w:rsidP="00D15BF1">
            <w:pPr>
              <w:pStyle w:val="Default"/>
              <w:ind w:left="720"/>
              <w:rPr>
                <w:sz w:val="28"/>
                <w:szCs w:val="28"/>
              </w:rPr>
            </w:pPr>
            <w:hyperlink r:id="rId10" w:history="1">
              <w:r w:rsidR="00D15BF1" w:rsidRPr="002F474E">
                <w:rPr>
                  <w:rStyle w:val="Hyperlink"/>
                  <w:sz w:val="28"/>
                  <w:szCs w:val="28"/>
                </w:rPr>
                <w:t>https://www.jstor.org/stable/40581895</w:t>
              </w:r>
            </w:hyperlink>
            <w:r w:rsidR="00D15BF1">
              <w:rPr>
                <w:sz w:val="28"/>
                <w:szCs w:val="28"/>
              </w:rPr>
              <w:t xml:space="preserve"> </w:t>
            </w:r>
          </w:p>
          <w:p w14:paraId="2D3812F4" w14:textId="4C01E7F1" w:rsidR="00D15BF1" w:rsidRPr="003B7347" w:rsidRDefault="00D15BF1" w:rsidP="00D15BF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B7347">
              <w:rPr>
                <w:sz w:val="28"/>
                <w:szCs w:val="28"/>
              </w:rPr>
              <w:t>Lewis</w:t>
            </w:r>
            <w:r>
              <w:rPr>
                <w:sz w:val="28"/>
                <w:szCs w:val="28"/>
              </w:rPr>
              <w:t xml:space="preserve">, </w:t>
            </w:r>
            <w:r w:rsidRPr="003B7347">
              <w:rPr>
                <w:sz w:val="28"/>
                <w:szCs w:val="28"/>
              </w:rPr>
              <w:t>Christopher S.</w:t>
            </w:r>
            <w:r>
              <w:rPr>
                <w:sz w:val="28"/>
                <w:szCs w:val="28"/>
              </w:rPr>
              <w:t xml:space="preserve"> “</w:t>
            </w:r>
            <w:r w:rsidRPr="003B7347">
              <w:rPr>
                <w:sz w:val="28"/>
                <w:szCs w:val="28"/>
              </w:rPr>
              <w:t xml:space="preserve">Cultivating Black Lesbian Shamelessness: Alice Walker's </w:t>
            </w:r>
            <w:r w:rsidRPr="00FA0F52">
              <w:rPr>
                <w:i/>
                <w:iCs/>
                <w:sz w:val="28"/>
                <w:szCs w:val="28"/>
              </w:rPr>
              <w:t xml:space="preserve">The </w:t>
            </w:r>
            <w:proofErr w:type="spellStart"/>
            <w:r w:rsidRPr="00FA0F52">
              <w:rPr>
                <w:i/>
                <w:iCs/>
                <w:sz w:val="28"/>
                <w:szCs w:val="28"/>
              </w:rPr>
              <w:t>Color</w:t>
            </w:r>
            <w:proofErr w:type="spellEnd"/>
            <w:r w:rsidRPr="00FA0F52">
              <w:rPr>
                <w:i/>
                <w:iCs/>
                <w:sz w:val="28"/>
                <w:szCs w:val="28"/>
              </w:rPr>
              <w:t xml:space="preserve"> Purple</w:t>
            </w:r>
            <w:r w:rsidRPr="003B734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. </w:t>
            </w:r>
            <w:r w:rsidRPr="00511033">
              <w:rPr>
                <w:i/>
                <w:iCs/>
                <w:sz w:val="28"/>
                <w:szCs w:val="28"/>
              </w:rPr>
              <w:t>Rocky Mountain Review</w:t>
            </w:r>
            <w:r w:rsidRPr="003B7347">
              <w:rPr>
                <w:sz w:val="28"/>
                <w:szCs w:val="28"/>
              </w:rPr>
              <w:t>, Vol. 66, No. 2 (Fall 2012), pp. 158-175</w:t>
            </w:r>
            <w:r>
              <w:rPr>
                <w:sz w:val="28"/>
                <w:szCs w:val="28"/>
              </w:rPr>
              <w:t xml:space="preserve">. </w:t>
            </w:r>
            <w:hyperlink r:id="rId11" w:history="1">
              <w:r w:rsidRPr="002F474E">
                <w:rPr>
                  <w:rStyle w:val="Hyperlink"/>
                  <w:sz w:val="28"/>
                  <w:szCs w:val="28"/>
                </w:rPr>
                <w:t>https://www.jstor.org/stable/41763555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233945B9" w14:textId="36649702" w:rsidR="00D15BF1" w:rsidRPr="00D15BF1" w:rsidRDefault="00D15BF1" w:rsidP="00D15BF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15BF1">
              <w:rPr>
                <w:sz w:val="28"/>
                <w:szCs w:val="28"/>
              </w:rPr>
              <w:t xml:space="preserve">Selzer, Linda. “Race and Domesticity in </w:t>
            </w:r>
            <w:r w:rsidRPr="00D15BF1">
              <w:rPr>
                <w:i/>
                <w:iCs/>
                <w:sz w:val="28"/>
                <w:szCs w:val="28"/>
              </w:rPr>
              <w:t>The Color Purple</w:t>
            </w:r>
            <w:r w:rsidRPr="00D15BF1">
              <w:rPr>
                <w:sz w:val="28"/>
                <w:szCs w:val="28"/>
              </w:rPr>
              <w:t xml:space="preserve">.” </w:t>
            </w:r>
            <w:r w:rsidRPr="00D15BF1">
              <w:rPr>
                <w:i/>
                <w:iCs/>
                <w:sz w:val="28"/>
                <w:szCs w:val="28"/>
              </w:rPr>
              <w:t>African American Review</w:t>
            </w:r>
            <w:r w:rsidRPr="00D15BF1">
              <w:rPr>
                <w:sz w:val="28"/>
                <w:szCs w:val="28"/>
              </w:rPr>
              <w:t xml:space="preserve">, Spring, 1995, Vol. 29, No. 1 (Spring, 1995), pp. 67-82. </w:t>
            </w:r>
            <w:hyperlink r:id="rId12" w:history="1">
              <w:r w:rsidRPr="00D15BF1">
                <w:rPr>
                  <w:rStyle w:val="Hyperlink"/>
                  <w:sz w:val="28"/>
                  <w:szCs w:val="28"/>
                </w:rPr>
                <w:t>https://www.jstor.org/stable/3042429</w:t>
              </w:r>
            </w:hyperlink>
          </w:p>
          <w:p w14:paraId="673498A8" w14:textId="77777777" w:rsidR="00D15BF1" w:rsidRPr="00777F1C" w:rsidRDefault="00D15BF1" w:rsidP="00D15BF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77F1C">
              <w:rPr>
                <w:sz w:val="28"/>
                <w:szCs w:val="28"/>
              </w:rPr>
              <w:t>Hite</w:t>
            </w:r>
            <w:r>
              <w:rPr>
                <w:sz w:val="28"/>
                <w:szCs w:val="28"/>
              </w:rPr>
              <w:t xml:space="preserve">, </w:t>
            </w:r>
            <w:r w:rsidRPr="00777F1C">
              <w:rPr>
                <w:sz w:val="28"/>
                <w:szCs w:val="28"/>
              </w:rPr>
              <w:t>Molly</w:t>
            </w:r>
            <w:r>
              <w:rPr>
                <w:sz w:val="28"/>
                <w:szCs w:val="28"/>
              </w:rPr>
              <w:t>.</w:t>
            </w:r>
            <w:r w:rsidRPr="00777F1C">
              <w:rPr>
                <w:sz w:val="28"/>
                <w:szCs w:val="28"/>
              </w:rPr>
              <w:t xml:space="preserve"> Romance, Marginality, Matrilineage: The </w:t>
            </w:r>
            <w:proofErr w:type="spellStart"/>
            <w:r w:rsidRPr="00777F1C">
              <w:rPr>
                <w:sz w:val="28"/>
                <w:szCs w:val="28"/>
              </w:rPr>
              <w:t>Color</w:t>
            </w:r>
            <w:proofErr w:type="spellEnd"/>
            <w:r w:rsidRPr="00777F1C">
              <w:rPr>
                <w:sz w:val="28"/>
                <w:szCs w:val="28"/>
              </w:rPr>
              <w:t xml:space="preserve"> Purple</w:t>
            </w:r>
            <w:r>
              <w:rPr>
                <w:sz w:val="28"/>
                <w:szCs w:val="28"/>
              </w:rPr>
              <w:t xml:space="preserve">. In </w:t>
            </w:r>
            <w:r w:rsidRPr="001E1FB1">
              <w:rPr>
                <w:i/>
                <w:iCs/>
                <w:sz w:val="28"/>
                <w:szCs w:val="28"/>
              </w:rPr>
              <w:t>The Other Side of the Story: Structures and Strategies of Contemporary Feminist Narratives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777F1C">
              <w:rPr>
                <w:sz w:val="28"/>
                <w:szCs w:val="28"/>
              </w:rPr>
              <w:t>Cornell University Press. (1989)</w:t>
            </w:r>
          </w:p>
          <w:p w14:paraId="626B56EA" w14:textId="2888C6E0" w:rsidR="00D15BF1" w:rsidRPr="00D15BF1" w:rsidRDefault="00000000" w:rsidP="00D15BF1">
            <w:pPr>
              <w:pStyle w:val="ListParagraph"/>
              <w:ind w:left="720"/>
              <w:rPr>
                <w:sz w:val="28"/>
                <w:szCs w:val="28"/>
              </w:rPr>
            </w:pPr>
            <w:hyperlink r:id="rId13" w:history="1">
              <w:r w:rsidR="00D15BF1" w:rsidRPr="002F474E">
                <w:rPr>
                  <w:rStyle w:val="Hyperlink"/>
                  <w:sz w:val="28"/>
                  <w:szCs w:val="28"/>
                </w:rPr>
                <w:t>https://www.jstor.org/stable/10.7591/j.ctt207g66s.7</w:t>
              </w:r>
            </w:hyperlink>
          </w:p>
          <w:p w14:paraId="4AF23104" w14:textId="77777777" w:rsidR="00D15BF1" w:rsidRPr="00D15BF1" w:rsidRDefault="00D15BF1" w:rsidP="00D15BF1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15BF1">
              <w:rPr>
                <w:sz w:val="28"/>
                <w:szCs w:val="28"/>
              </w:rPr>
              <w:t>Jain, Sonali. “Sylvia Plath: Two poems”. E-lesson written for ILLL, University of Delhi.</w:t>
            </w: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2F126FE1" w14:textId="77777777" w:rsidR="00767868" w:rsidRPr="006C4F1F" w:rsidRDefault="00767868" w:rsidP="007B30A8">
      <w:pPr>
        <w:pStyle w:val="BodyText"/>
        <w:rPr>
          <w:rFonts w:ascii="Times New Roman" w:hAnsi="Times New Roman" w:cs="Times New Roman"/>
          <w:b w:val="0"/>
          <w:sz w:val="20"/>
        </w:rPr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4t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211D"/>
    <w:multiLevelType w:val="hybridMultilevel"/>
    <w:tmpl w:val="14821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1"/>
  </w:num>
  <w:num w:numId="10" w16cid:durableId="602080933">
    <w:abstractNumId w:val="8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6"/>
  </w:num>
  <w:num w:numId="16" w16cid:durableId="1101218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3626F"/>
    <w:rsid w:val="00042213"/>
    <w:rsid w:val="00042844"/>
    <w:rsid w:val="00093A1B"/>
    <w:rsid w:val="001659C0"/>
    <w:rsid w:val="001939F5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532AD0"/>
    <w:rsid w:val="005A76FB"/>
    <w:rsid w:val="00641F09"/>
    <w:rsid w:val="00665C6F"/>
    <w:rsid w:val="006C4F1F"/>
    <w:rsid w:val="00767868"/>
    <w:rsid w:val="007B30A8"/>
    <w:rsid w:val="007F4139"/>
    <w:rsid w:val="00810F9E"/>
    <w:rsid w:val="00891C3F"/>
    <w:rsid w:val="0090581C"/>
    <w:rsid w:val="00912148"/>
    <w:rsid w:val="00977E7E"/>
    <w:rsid w:val="00984F92"/>
    <w:rsid w:val="00990D26"/>
    <w:rsid w:val="00A30D06"/>
    <w:rsid w:val="00A462F8"/>
    <w:rsid w:val="00AC3396"/>
    <w:rsid w:val="00B12AB5"/>
    <w:rsid w:val="00B9182C"/>
    <w:rsid w:val="00BF6BC1"/>
    <w:rsid w:val="00C67E1A"/>
    <w:rsid w:val="00CE29B9"/>
    <w:rsid w:val="00CF5E73"/>
    <w:rsid w:val="00D15BF1"/>
    <w:rsid w:val="00D6426C"/>
    <w:rsid w:val="00E73CC1"/>
    <w:rsid w:val="00F32B2C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2BE02AE9-10FC-4B2D-9CA7-44371F1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paragraph" w:customStyle="1" w:styleId="Default">
    <w:name w:val="Default"/>
    <w:rsid w:val="00F32B2C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  <w:lang w:val="en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1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1208336" TargetMode="External"/><Relationship Id="rId13" Type="http://schemas.openxmlformats.org/officeDocument/2006/relationships/hyperlink" Target="https://www.jstor.org/stable/10.7591/j.ctt207g66s.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12" Type="http://schemas.openxmlformats.org/officeDocument/2006/relationships/hyperlink" Target="https://www.jstor.org/stable/3042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jstor.org/stable/4176355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jstor.org/stable/40581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262824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Suyal</dc:creator>
  <cp:keywords/>
  <dc:description/>
  <cp:lastModifiedBy>Sonali Jain</cp:lastModifiedBy>
  <cp:revision>4</cp:revision>
  <dcterms:created xsi:type="dcterms:W3CDTF">2023-10-20T11:58:00Z</dcterms:created>
  <dcterms:modified xsi:type="dcterms:W3CDTF">2023-12-04T06:08:00Z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